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BB751" w14:textId="77777777" w:rsidR="005E0440" w:rsidRPr="005E0440" w:rsidRDefault="005E0440" w:rsidP="005E0440">
      <w:pPr>
        <w:shd w:val="clear" w:color="auto" w:fill="FFFFFF"/>
        <w:spacing w:after="0" w:line="240" w:lineRule="auto"/>
        <w:outlineLvl w:val="0"/>
        <w:rPr>
          <w:rFonts w:eastAsia="Times New Roman" w:cstheme="minorHAnsi"/>
          <w:b/>
          <w:bCs/>
          <w:color w:val="CC3300"/>
          <w:kern w:val="36"/>
          <w:sz w:val="28"/>
          <w:szCs w:val="28"/>
          <w:lang w:eastAsia="fr-BE"/>
        </w:rPr>
      </w:pPr>
      <w:r w:rsidRPr="005E0440">
        <w:rPr>
          <w:rFonts w:eastAsia="Times New Roman" w:cstheme="minorHAnsi"/>
          <w:b/>
          <w:bCs/>
          <w:color w:val="CC3300"/>
          <w:kern w:val="36"/>
          <w:sz w:val="28"/>
          <w:szCs w:val="28"/>
          <w:lang w:eastAsia="fr-BE"/>
        </w:rPr>
        <w:t>Cuivre : une offre largement déficitaire qui promet de nouveaux sommets</w:t>
      </w:r>
    </w:p>
    <w:p w14:paraId="48E66E1A" w14:textId="77777777" w:rsidR="005E0440" w:rsidRDefault="005E0440" w:rsidP="005E0440">
      <w:pPr>
        <w:shd w:val="clear" w:color="auto" w:fill="FFFFFF"/>
        <w:spacing w:before="75" w:after="75" w:line="240" w:lineRule="auto"/>
        <w:jc w:val="both"/>
        <w:rPr>
          <w:rFonts w:eastAsia="Times New Roman" w:cstheme="minorHAnsi"/>
          <w:i/>
          <w:iCs/>
          <w:color w:val="000000"/>
          <w:sz w:val="24"/>
          <w:szCs w:val="24"/>
          <w:lang w:eastAsia="fr-BE"/>
        </w:rPr>
      </w:pPr>
    </w:p>
    <w:p w14:paraId="4BA8817D" w14:textId="6D900395"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b/>
          <w:bCs/>
          <w:color w:val="000000"/>
          <w:sz w:val="24"/>
          <w:szCs w:val="24"/>
          <w:lang w:eastAsia="fr-BE"/>
        </w:rPr>
        <w:t xml:space="preserve">2021 s'annonce comme une année de déficit significatif pour le cuivre alors que l'offre, plus étroite que prévu, peine à répondre au surcroît de demande, prévoit Benedikt </w:t>
      </w:r>
      <w:proofErr w:type="spellStart"/>
      <w:r w:rsidRPr="005E0440">
        <w:rPr>
          <w:rFonts w:eastAsia="Times New Roman" w:cstheme="minorHAnsi"/>
          <w:b/>
          <w:bCs/>
          <w:color w:val="000000"/>
          <w:sz w:val="24"/>
          <w:szCs w:val="24"/>
          <w:lang w:eastAsia="fr-BE"/>
        </w:rPr>
        <w:t>Sobotka</w:t>
      </w:r>
      <w:proofErr w:type="spellEnd"/>
      <w:r w:rsidRPr="005E0440">
        <w:rPr>
          <w:rFonts w:eastAsia="Times New Roman" w:cstheme="minorHAnsi"/>
          <w:b/>
          <w:bCs/>
          <w:color w:val="000000"/>
          <w:sz w:val="24"/>
          <w:szCs w:val="24"/>
          <w:lang w:eastAsia="fr-BE"/>
        </w:rPr>
        <w:t xml:space="preserve">, </w:t>
      </w:r>
      <w:proofErr w:type="spellStart"/>
      <w:r w:rsidRPr="005E0440">
        <w:rPr>
          <w:rFonts w:eastAsia="Times New Roman" w:cstheme="minorHAnsi"/>
          <w:b/>
          <w:bCs/>
          <w:color w:val="000000"/>
          <w:sz w:val="24"/>
          <w:szCs w:val="24"/>
          <w:lang w:eastAsia="fr-BE"/>
        </w:rPr>
        <w:t>pdg</w:t>
      </w:r>
      <w:proofErr w:type="spellEnd"/>
      <w:r w:rsidRPr="005E0440">
        <w:rPr>
          <w:rFonts w:eastAsia="Times New Roman" w:cstheme="minorHAnsi"/>
          <w:b/>
          <w:bCs/>
          <w:color w:val="000000"/>
          <w:sz w:val="24"/>
          <w:szCs w:val="24"/>
          <w:lang w:eastAsia="fr-BE"/>
        </w:rPr>
        <w:t xml:space="preserve"> de la société minière diversifiée </w:t>
      </w:r>
      <w:proofErr w:type="spellStart"/>
      <w:r w:rsidRPr="005E0440">
        <w:rPr>
          <w:rFonts w:eastAsia="Times New Roman" w:cstheme="minorHAnsi"/>
          <w:b/>
          <w:bCs/>
          <w:color w:val="000000"/>
          <w:sz w:val="24"/>
          <w:szCs w:val="24"/>
          <w:lang w:eastAsia="fr-BE"/>
        </w:rPr>
        <w:t>Eurasian</w:t>
      </w:r>
      <w:proofErr w:type="spellEnd"/>
      <w:r w:rsidRPr="005E0440">
        <w:rPr>
          <w:rFonts w:eastAsia="Times New Roman" w:cstheme="minorHAnsi"/>
          <w:b/>
          <w:bCs/>
          <w:color w:val="000000"/>
          <w:sz w:val="24"/>
          <w:szCs w:val="24"/>
          <w:lang w:eastAsia="fr-BE"/>
        </w:rPr>
        <w:t xml:space="preserve"> </w:t>
      </w:r>
      <w:proofErr w:type="spellStart"/>
      <w:r w:rsidRPr="005E0440">
        <w:rPr>
          <w:rFonts w:eastAsia="Times New Roman" w:cstheme="minorHAnsi"/>
          <w:b/>
          <w:bCs/>
          <w:color w:val="000000"/>
          <w:sz w:val="24"/>
          <w:szCs w:val="24"/>
          <w:lang w:eastAsia="fr-BE"/>
        </w:rPr>
        <w:t>Resources</w:t>
      </w:r>
      <w:proofErr w:type="spellEnd"/>
      <w:r w:rsidRPr="005E0440">
        <w:rPr>
          <w:rFonts w:eastAsia="Times New Roman" w:cstheme="minorHAnsi"/>
          <w:b/>
          <w:bCs/>
          <w:color w:val="000000"/>
          <w:sz w:val="24"/>
          <w:szCs w:val="24"/>
          <w:lang w:eastAsia="fr-BE"/>
        </w:rPr>
        <w:t xml:space="preserve"> Group (ERG).</w:t>
      </w:r>
    </w:p>
    <w:p w14:paraId="1A7C6E48" w14:textId="77777777"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color w:val="000000"/>
          <w:sz w:val="24"/>
          <w:szCs w:val="24"/>
          <w:lang w:eastAsia="fr-BE"/>
        </w:rPr>
        <w:t> </w:t>
      </w:r>
    </w:p>
    <w:p w14:paraId="329F79C7" w14:textId="77777777"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color w:val="000000"/>
          <w:sz w:val="24"/>
          <w:szCs w:val="24"/>
          <w:lang w:eastAsia="fr-BE"/>
        </w:rPr>
        <w:t xml:space="preserve">La demande est portée par les mesures gouvernementales encourageant la croissance verte. Les pays repensent à cet effet leurs infrastructures pour atteindre les objectifs de décarbonation, explique Benedikt </w:t>
      </w:r>
      <w:proofErr w:type="spellStart"/>
      <w:r w:rsidRPr="005E0440">
        <w:rPr>
          <w:rFonts w:eastAsia="Times New Roman" w:cstheme="minorHAnsi"/>
          <w:color w:val="000000"/>
          <w:sz w:val="24"/>
          <w:szCs w:val="24"/>
          <w:lang w:eastAsia="fr-BE"/>
        </w:rPr>
        <w:t>Sobotka</w:t>
      </w:r>
      <w:proofErr w:type="spellEnd"/>
      <w:r w:rsidRPr="005E0440">
        <w:rPr>
          <w:rFonts w:eastAsia="Times New Roman" w:cstheme="minorHAnsi"/>
          <w:color w:val="000000"/>
          <w:sz w:val="24"/>
          <w:szCs w:val="24"/>
          <w:lang w:eastAsia="fr-BE"/>
        </w:rPr>
        <w:t>, qui voit le seuil psychologique des 10.000 $/t comme une cible atteignable à court terme. Le cours du cuivre a pour la dernière fois dépassé ce seuil en février 2011, en atteignant la valeur record de 10.120 $/t. Pour mémoire, le métal rouge a culminé à 9.562,50 $/t le 25 février 2021.</w:t>
      </w:r>
    </w:p>
    <w:p w14:paraId="2B0F94EC" w14:textId="77777777"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color w:val="000000"/>
          <w:sz w:val="24"/>
          <w:szCs w:val="24"/>
          <w:lang w:eastAsia="fr-BE"/>
        </w:rPr>
        <w:t xml:space="preserve">La demande mondiale, en dehors de la Chine, sera motrice en 2021 – ce qui n’était pas vraiment le cas auparavant. Benedikt </w:t>
      </w:r>
      <w:proofErr w:type="spellStart"/>
      <w:r w:rsidRPr="005E0440">
        <w:rPr>
          <w:rFonts w:eastAsia="Times New Roman" w:cstheme="minorHAnsi"/>
          <w:color w:val="000000"/>
          <w:sz w:val="24"/>
          <w:szCs w:val="24"/>
          <w:lang w:eastAsia="fr-BE"/>
        </w:rPr>
        <w:t>Sobotka</w:t>
      </w:r>
      <w:proofErr w:type="spellEnd"/>
      <w:r w:rsidRPr="005E0440">
        <w:rPr>
          <w:rFonts w:eastAsia="Times New Roman" w:cstheme="minorHAnsi"/>
          <w:color w:val="000000"/>
          <w:sz w:val="24"/>
          <w:szCs w:val="24"/>
          <w:lang w:eastAsia="fr-BE"/>
        </w:rPr>
        <w:t xml:space="preserve"> observe que la reprise économique est plus rapide que prévu, en attestent les indicateurs macroéconomiques de pays consommateurs clé, tels que les Etats-Unis et l’Europe. « </w:t>
      </w:r>
      <w:r w:rsidRPr="005E0440">
        <w:rPr>
          <w:rFonts w:eastAsia="Times New Roman" w:cstheme="minorHAnsi"/>
          <w:i/>
          <w:iCs/>
          <w:color w:val="000000"/>
          <w:sz w:val="24"/>
          <w:szCs w:val="24"/>
          <w:lang w:eastAsia="fr-BE"/>
        </w:rPr>
        <w:t>La période actuelle n’est que le préambule d’une phase prolongée de croissance de la consommation supérieure à la moyenne, en particulier en Europe et aux Etats-Unis, où la demande a stagné au cours de la précédente décennie</w:t>
      </w:r>
      <w:r w:rsidRPr="005E0440">
        <w:rPr>
          <w:rFonts w:eastAsia="Times New Roman" w:cstheme="minorHAnsi"/>
          <w:color w:val="000000"/>
          <w:sz w:val="24"/>
          <w:szCs w:val="24"/>
          <w:lang w:eastAsia="fr-BE"/>
        </w:rPr>
        <w:t> », indique le dirigeant.</w:t>
      </w:r>
    </w:p>
    <w:p w14:paraId="0FD0DC1B" w14:textId="77777777"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color w:val="000000"/>
          <w:sz w:val="24"/>
          <w:szCs w:val="24"/>
          <w:lang w:eastAsia="fr-BE"/>
        </w:rPr>
        <w:t>La reprise économique de la Chine, après la pandémie de Covid-19, se poursuit, dans le cadre notamment du 14</w:t>
      </w:r>
      <w:r w:rsidRPr="005E0440">
        <w:rPr>
          <w:rFonts w:eastAsia="Times New Roman" w:cstheme="minorHAnsi"/>
          <w:color w:val="000000"/>
          <w:sz w:val="24"/>
          <w:szCs w:val="24"/>
          <w:vertAlign w:val="superscript"/>
          <w:lang w:eastAsia="fr-BE"/>
        </w:rPr>
        <w:t>ème</w:t>
      </w:r>
      <w:r w:rsidRPr="005E0440">
        <w:rPr>
          <w:rFonts w:eastAsia="Times New Roman" w:cstheme="minorHAnsi"/>
          <w:color w:val="000000"/>
          <w:sz w:val="24"/>
          <w:szCs w:val="24"/>
          <w:lang w:eastAsia="fr-BE"/>
        </w:rPr>
        <w:t xml:space="preserve"> plan quinquennal du pays axé sur la revitalisation rurale, la décarbonation et le </w:t>
      </w:r>
      <w:proofErr w:type="gramStart"/>
      <w:r w:rsidRPr="005E0440">
        <w:rPr>
          <w:rFonts w:eastAsia="Times New Roman" w:cstheme="minorHAnsi"/>
          <w:color w:val="000000"/>
          <w:sz w:val="24"/>
          <w:szCs w:val="24"/>
          <w:lang w:eastAsia="fr-BE"/>
        </w:rPr>
        <w:t>développement  des</w:t>
      </w:r>
      <w:proofErr w:type="gramEnd"/>
      <w:r w:rsidRPr="005E0440">
        <w:rPr>
          <w:rFonts w:eastAsia="Times New Roman" w:cstheme="minorHAnsi"/>
          <w:color w:val="000000"/>
          <w:sz w:val="24"/>
          <w:szCs w:val="24"/>
          <w:lang w:eastAsia="fr-BE"/>
        </w:rPr>
        <w:t xml:space="preserve"> infrastructures, des transports, de l'électricité, de l'énergie verte, du développement numérique et de l'innovation technologique - ce qui devrait entraîner une croissance marquée de la demande en cuivre, estime Benedikt </w:t>
      </w:r>
      <w:proofErr w:type="spellStart"/>
      <w:r w:rsidRPr="005E0440">
        <w:rPr>
          <w:rFonts w:eastAsia="Times New Roman" w:cstheme="minorHAnsi"/>
          <w:color w:val="000000"/>
          <w:sz w:val="24"/>
          <w:szCs w:val="24"/>
          <w:lang w:eastAsia="fr-BE"/>
        </w:rPr>
        <w:t>Sobotka</w:t>
      </w:r>
      <w:proofErr w:type="spellEnd"/>
      <w:r w:rsidRPr="005E0440">
        <w:rPr>
          <w:rFonts w:eastAsia="Times New Roman" w:cstheme="minorHAnsi"/>
          <w:color w:val="000000"/>
          <w:sz w:val="24"/>
          <w:szCs w:val="24"/>
          <w:lang w:eastAsia="fr-BE"/>
        </w:rPr>
        <w:t>.</w:t>
      </w:r>
    </w:p>
    <w:p w14:paraId="5A98BE64" w14:textId="77777777"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color w:val="000000"/>
          <w:sz w:val="24"/>
          <w:szCs w:val="24"/>
          <w:lang w:eastAsia="fr-BE"/>
        </w:rPr>
        <w:t>Il a également évoqué la nouvelle stratégie de la Chine, qui se concentre désormais davantage sur la croissance des marchés intérieurs, l’environnement commercial international étant devenu moins propice, au détriment des marchés internationaux.</w:t>
      </w:r>
    </w:p>
    <w:p w14:paraId="30CCE037" w14:textId="77777777"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color w:val="000000"/>
          <w:sz w:val="24"/>
          <w:szCs w:val="24"/>
          <w:lang w:eastAsia="fr-BE"/>
        </w:rPr>
        <w:t xml:space="preserve">Dans le cadre de cette stratégie, la consommation de cuivre, portée par les investissements, restera une priorité, alors que les fabricants chinois développent leurs chaînes d'approvisionnement en amont, précise le </w:t>
      </w:r>
      <w:proofErr w:type="spellStart"/>
      <w:r w:rsidRPr="005E0440">
        <w:rPr>
          <w:rFonts w:eastAsia="Times New Roman" w:cstheme="minorHAnsi"/>
          <w:color w:val="000000"/>
          <w:sz w:val="24"/>
          <w:szCs w:val="24"/>
          <w:lang w:eastAsia="fr-BE"/>
        </w:rPr>
        <w:t>pdg</w:t>
      </w:r>
      <w:proofErr w:type="spellEnd"/>
      <w:r w:rsidRPr="005E0440">
        <w:rPr>
          <w:rFonts w:eastAsia="Times New Roman" w:cstheme="minorHAnsi"/>
          <w:color w:val="000000"/>
          <w:sz w:val="24"/>
          <w:szCs w:val="24"/>
          <w:lang w:eastAsia="fr-BE"/>
        </w:rPr>
        <w:t xml:space="preserve"> d</w:t>
      </w:r>
      <w:r w:rsidRPr="005E0440">
        <w:rPr>
          <w:rFonts w:eastAsia="Times New Roman" w:cstheme="minorHAnsi"/>
          <w:b/>
          <w:bCs/>
          <w:color w:val="000000"/>
          <w:sz w:val="24"/>
          <w:szCs w:val="24"/>
          <w:lang w:eastAsia="fr-BE"/>
        </w:rPr>
        <w:t>’</w:t>
      </w:r>
      <w:proofErr w:type="spellStart"/>
      <w:r w:rsidRPr="005E0440">
        <w:rPr>
          <w:rFonts w:eastAsia="Times New Roman" w:cstheme="minorHAnsi"/>
          <w:b/>
          <w:bCs/>
          <w:color w:val="000000"/>
          <w:sz w:val="24"/>
          <w:szCs w:val="24"/>
          <w:lang w:eastAsia="fr-BE"/>
        </w:rPr>
        <w:t>Eurasian</w:t>
      </w:r>
      <w:proofErr w:type="spellEnd"/>
      <w:r w:rsidRPr="005E0440">
        <w:rPr>
          <w:rFonts w:eastAsia="Times New Roman" w:cstheme="minorHAnsi"/>
          <w:b/>
          <w:bCs/>
          <w:color w:val="000000"/>
          <w:sz w:val="24"/>
          <w:szCs w:val="24"/>
          <w:lang w:eastAsia="fr-BE"/>
        </w:rPr>
        <w:t xml:space="preserve"> </w:t>
      </w:r>
      <w:proofErr w:type="spellStart"/>
      <w:r w:rsidRPr="005E0440">
        <w:rPr>
          <w:rFonts w:eastAsia="Times New Roman" w:cstheme="minorHAnsi"/>
          <w:b/>
          <w:bCs/>
          <w:color w:val="000000"/>
          <w:sz w:val="24"/>
          <w:szCs w:val="24"/>
          <w:lang w:eastAsia="fr-BE"/>
        </w:rPr>
        <w:t>Resources</w:t>
      </w:r>
      <w:proofErr w:type="spellEnd"/>
      <w:r w:rsidRPr="005E0440">
        <w:rPr>
          <w:rFonts w:eastAsia="Times New Roman" w:cstheme="minorHAnsi"/>
          <w:b/>
          <w:bCs/>
          <w:color w:val="000000"/>
          <w:sz w:val="24"/>
          <w:szCs w:val="24"/>
          <w:lang w:eastAsia="fr-BE"/>
        </w:rPr>
        <w:t xml:space="preserve"> Group</w:t>
      </w:r>
      <w:r w:rsidRPr="005E0440">
        <w:rPr>
          <w:rFonts w:eastAsia="Times New Roman" w:cstheme="minorHAnsi"/>
          <w:color w:val="000000"/>
          <w:sz w:val="24"/>
          <w:szCs w:val="24"/>
          <w:lang w:eastAsia="fr-BE"/>
        </w:rPr>
        <w:t>.</w:t>
      </w:r>
    </w:p>
    <w:p w14:paraId="3EC2684F" w14:textId="77777777" w:rsidR="005E0440" w:rsidRPr="005E0440" w:rsidRDefault="005E0440" w:rsidP="005E0440">
      <w:pPr>
        <w:shd w:val="clear" w:color="auto" w:fill="FFFFFF"/>
        <w:spacing w:before="75" w:after="75" w:line="240" w:lineRule="auto"/>
        <w:jc w:val="both"/>
        <w:rPr>
          <w:rFonts w:eastAsia="Times New Roman" w:cstheme="minorHAnsi"/>
          <w:color w:val="000000"/>
          <w:sz w:val="24"/>
          <w:szCs w:val="24"/>
          <w:lang w:eastAsia="fr-BE"/>
        </w:rPr>
      </w:pPr>
      <w:r w:rsidRPr="005E0440">
        <w:rPr>
          <w:rFonts w:eastAsia="Times New Roman" w:cstheme="minorHAnsi"/>
          <w:color w:val="000000"/>
          <w:sz w:val="24"/>
          <w:szCs w:val="24"/>
          <w:lang w:eastAsia="fr-BE"/>
        </w:rPr>
        <w:t> </w:t>
      </w:r>
    </w:p>
    <w:p w14:paraId="222718C9" w14:textId="77777777" w:rsidR="00A10D5A" w:rsidRPr="005E0440" w:rsidRDefault="00A10D5A">
      <w:pPr>
        <w:rPr>
          <w:rFonts w:cstheme="minorHAnsi"/>
          <w:sz w:val="24"/>
          <w:szCs w:val="24"/>
        </w:rPr>
      </w:pPr>
    </w:p>
    <w:sectPr w:rsidR="00A10D5A" w:rsidRPr="005E0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40"/>
    <w:rsid w:val="005E0440"/>
    <w:rsid w:val="00A10D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88CC"/>
  <w15:chartTrackingRefBased/>
  <w15:docId w15:val="{D4D3494E-41E7-47ED-9720-C6968974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5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1965</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2021-04-07T07:43:00Z</dcterms:created>
  <dcterms:modified xsi:type="dcterms:W3CDTF">2021-04-07T07:43:00Z</dcterms:modified>
</cp:coreProperties>
</file>